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2014 182 vom 20. März 2014</w:t>
      </w:r>
    </w:p>
    <w:p>
      <w:r>
        <w:t>BL Gerichte, 2014-03-20, DE</w:t>
      </w:r>
    </w:p>
    <w:p>
      <w:r>
        <w:rPr>
          <w:b/>
        </w:rPr>
        <w:t xml:space="preserve">Quelle: </w:t>
      </w:r>
      <w:r>
        <w:t>https://mcp.opencaselaw.ch/entscheid/bl_gerichte_470 2014 182</w:t>
      </w:r>
    </w:p>
    <w:p>
      <w:r>
        <w:t>FR: BL_GERICHTE 470 2014 182 du 20 mars 2014</w:t>
      </w:r>
    </w:p>
    <w:p>
      <w:r>
        <w:t>IT: BL_GERICHTE 470 2014 182 del 20 marzo 2014</w:t>
      </w:r>
    </w:p>
    <w:p>
      <w:pPr>
        <w:pStyle w:val="Heading2"/>
      </w:pPr>
      <w:r>
        <w:t>Regeste</w:t>
      </w:r>
    </w:p>
    <w:p>
      <w:r>
        <w:t>Entschädigung der amtlichen Verteidigung</w:t>
      </w:r>
    </w:p>
    <w:p>
      <w:pPr>
        <w:pStyle w:val="Heading2"/>
      </w:pPr>
      <w:r>
        <w:t>Erwägungen</w:t>
      </w:r>
    </w:p>
    <w:p>
      <w:r>
        <w:rPr>
          <w:b/>
        </w:rPr>
        <w:t>E. 3</w:t>
      </w:r>
    </w:p>
    <w:p>
      <w:r>
        <w:t>Abschliessend ist über die Verteilung der Kosten zu befinden. Wird ein Entscheid aufgehoben und zur neuen Entscheidung zurückgewiesen, so trägt nach Art. 428 Abs. 4 StPO der Bund oder der Kanton die Kosten des Rechtsmittelverfahrens. Das vorliegende Verfahren ist zufolge eines schweren Verfahrensfehlers der Staatsanwaltschaft als gegenstandslos abzuschreiben, weshalb in analoger Anwendung von Art. 428 Abs. 4 StPO die Kosten des vorliegenden Beschwerdeverfahrens durch den Staat zu tragen sind. Folglich gehen die Kosten des Beschwerdeverfahrens, bestehend aus einer Entscheidgebühr von Fr. 1‘000.-- und Auslagen von pauschal Fr. 50.--, total Fr. 1‘050.--, zulasten der Staatskasse.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